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9C" w:rsidRPr="00A3059C" w:rsidRDefault="00A3059C" w:rsidP="00A3059C">
      <w:pPr>
        <w:pStyle w:val="a3"/>
        <w:jc w:val="center"/>
        <w:rPr>
          <w:rFonts w:eastAsia="Times New Roman"/>
          <w:sz w:val="20"/>
          <w:szCs w:val="20"/>
          <w:lang w:val="uk-UA"/>
        </w:rPr>
      </w:pPr>
      <w:r w:rsidRPr="00A3059C">
        <w:rPr>
          <w:rFonts w:eastAsia="Times New Roman"/>
          <w:b/>
          <w:bCs/>
          <w:sz w:val="20"/>
          <w:szCs w:val="20"/>
          <w:lang w:val="uk-UA"/>
        </w:rPr>
        <w:t>ДЕРЖАВНА ФІСКАЛЬНА СЛУЖБА УКРАЇНИ</w:t>
      </w:r>
    </w:p>
    <w:p w:rsidR="00A3059C" w:rsidRPr="00A3059C" w:rsidRDefault="00A3059C" w:rsidP="00A3059C">
      <w:pPr>
        <w:pStyle w:val="a3"/>
        <w:jc w:val="center"/>
        <w:rPr>
          <w:rFonts w:eastAsia="Times New Roman"/>
          <w:sz w:val="20"/>
          <w:szCs w:val="20"/>
          <w:lang w:val="uk-UA"/>
        </w:rPr>
      </w:pPr>
      <w:r w:rsidRPr="00A3059C">
        <w:rPr>
          <w:rFonts w:eastAsia="Times New Roman"/>
          <w:b/>
          <w:bCs/>
          <w:sz w:val="20"/>
          <w:szCs w:val="20"/>
          <w:lang w:val="uk-UA"/>
        </w:rPr>
        <w:t>ЛИСТ</w:t>
      </w:r>
    </w:p>
    <w:p w:rsidR="00A3059C" w:rsidRPr="00A3059C" w:rsidRDefault="00A3059C" w:rsidP="00A3059C">
      <w:pPr>
        <w:pStyle w:val="a3"/>
        <w:jc w:val="center"/>
        <w:rPr>
          <w:rFonts w:eastAsia="Times New Roman"/>
          <w:sz w:val="20"/>
          <w:szCs w:val="20"/>
          <w:lang w:val="uk-UA"/>
        </w:rPr>
      </w:pPr>
      <w:r w:rsidRPr="00A3059C">
        <w:rPr>
          <w:rFonts w:eastAsia="Times New Roman"/>
          <w:sz w:val="20"/>
          <w:szCs w:val="20"/>
          <w:lang w:val="uk-UA"/>
        </w:rPr>
        <w:t>19.01.2015 р. № 1403/7/99-99-19-03-01-17</w:t>
      </w:r>
    </w:p>
    <w:p w:rsidR="00A3059C" w:rsidRPr="00A3059C" w:rsidRDefault="00A3059C" w:rsidP="00A3059C">
      <w:pPr>
        <w:pStyle w:val="a3"/>
        <w:jc w:val="center"/>
        <w:rPr>
          <w:rFonts w:eastAsia="Times New Roman"/>
          <w:sz w:val="20"/>
          <w:szCs w:val="20"/>
          <w:lang w:val="uk-UA"/>
        </w:rPr>
      </w:pPr>
    </w:p>
    <w:p w:rsidR="00A3059C" w:rsidRPr="00A3059C" w:rsidRDefault="00A3059C" w:rsidP="00A3059C">
      <w:pPr>
        <w:pStyle w:val="a3"/>
        <w:jc w:val="center"/>
        <w:rPr>
          <w:rFonts w:eastAsia="Times New Roman"/>
          <w:sz w:val="20"/>
          <w:szCs w:val="20"/>
          <w:lang w:val="uk-UA"/>
        </w:rPr>
      </w:pPr>
    </w:p>
    <w:p w:rsidR="00A3059C" w:rsidRPr="00A3059C" w:rsidRDefault="00A3059C" w:rsidP="00A3059C">
      <w:pPr>
        <w:pStyle w:val="a3"/>
        <w:jc w:val="right"/>
        <w:rPr>
          <w:rFonts w:eastAsia="Times New Roman"/>
          <w:sz w:val="20"/>
          <w:szCs w:val="20"/>
          <w:lang w:val="uk-UA"/>
        </w:rPr>
      </w:pPr>
      <w:r w:rsidRPr="00A3059C">
        <w:rPr>
          <w:rFonts w:eastAsia="Times New Roman"/>
          <w:bCs/>
          <w:sz w:val="20"/>
          <w:szCs w:val="20"/>
          <w:lang w:val="uk-UA"/>
        </w:rPr>
        <w:t>Головні управління ДФС в областях,</w:t>
      </w:r>
    </w:p>
    <w:p w:rsidR="00A3059C" w:rsidRPr="00A3059C" w:rsidRDefault="00A3059C" w:rsidP="00A3059C">
      <w:pPr>
        <w:pStyle w:val="a3"/>
        <w:jc w:val="right"/>
        <w:rPr>
          <w:rFonts w:eastAsia="Times New Roman"/>
          <w:sz w:val="20"/>
          <w:szCs w:val="20"/>
          <w:lang w:val="uk-UA"/>
        </w:rPr>
      </w:pPr>
      <w:r w:rsidRPr="00A3059C">
        <w:rPr>
          <w:rFonts w:eastAsia="Times New Roman"/>
          <w:bCs/>
          <w:sz w:val="20"/>
          <w:szCs w:val="20"/>
          <w:lang w:val="uk-UA"/>
        </w:rPr>
        <w:t>м. Києві, Міжрегіональне головне</w:t>
      </w:r>
    </w:p>
    <w:p w:rsidR="00A3059C" w:rsidRPr="00A3059C" w:rsidRDefault="00A3059C" w:rsidP="00A3059C">
      <w:pPr>
        <w:pStyle w:val="a3"/>
        <w:jc w:val="right"/>
        <w:rPr>
          <w:rFonts w:eastAsia="Times New Roman"/>
          <w:sz w:val="20"/>
          <w:szCs w:val="20"/>
          <w:lang w:val="uk-UA"/>
        </w:rPr>
      </w:pPr>
      <w:r w:rsidRPr="00A3059C">
        <w:rPr>
          <w:rFonts w:eastAsia="Times New Roman"/>
          <w:bCs/>
          <w:sz w:val="20"/>
          <w:szCs w:val="20"/>
          <w:lang w:val="uk-UA"/>
        </w:rPr>
        <w:t>управління ДФС – Центральний офіс</w:t>
      </w:r>
    </w:p>
    <w:p w:rsidR="00A3059C" w:rsidRPr="00A3059C" w:rsidRDefault="00A3059C" w:rsidP="00A3059C">
      <w:pPr>
        <w:pStyle w:val="a3"/>
        <w:jc w:val="right"/>
        <w:rPr>
          <w:rFonts w:eastAsia="Times New Roman"/>
          <w:sz w:val="20"/>
          <w:szCs w:val="20"/>
          <w:lang w:val="uk-UA"/>
        </w:rPr>
      </w:pPr>
      <w:r w:rsidRPr="00A3059C">
        <w:rPr>
          <w:rFonts w:eastAsia="Times New Roman"/>
          <w:bCs/>
          <w:sz w:val="20"/>
          <w:szCs w:val="20"/>
          <w:lang w:val="uk-UA"/>
        </w:rPr>
        <w:t>з обслуговування великих платників</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jc w:val="center"/>
        <w:rPr>
          <w:rFonts w:eastAsia="Times New Roman" w:cs="Times New Roman"/>
        </w:rPr>
      </w:pPr>
      <w:r w:rsidRPr="00A3059C">
        <w:rPr>
          <w:rFonts w:eastAsia="Times New Roman" w:cs="Times New Roman"/>
          <w:b/>
          <w:bCs/>
          <w:lang w:val="uk-UA"/>
        </w:rPr>
        <w:t>Про систему електронного адміністрування ПДВ</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Державна фіскальна служба України у зв’язку з прийняттям Закону України від 28 грудня 2014 року № 71-VІІІ "Про внесення змін до Податкового кодексу України та деяких законодавчих актів України щодо податкової реформи" (далі – Закон № 71), який набрав чинності з 1 січня 2015 року, повідомляє.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Законом № 71 скасовано окремі норми Закону України від 31 липня 2014 року № 1621-VII "Про внесення змін до Податкового кодексу України та деяких інших законодавчих актів України", з урахуванням змін, внесених до нього Законом України від 07 жовтня 2014 року № 1690-VII "Про внесення змін до Податкового кодексу України щодо вдосконалення оподаткування інвестиційної діяльності", пов’язані із запровадженням системи електронного адміністрування податку на додану вартість, та одночасно запроваджено нові правила такого адміністрування.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 урахуванням змін, внесених до Податкового кодексу України (далі – Кодекс) Законом № 71, система електронного адміністрування податку на додану вартість запроваджується поетапно (пункт 35 підрозділу 2 розділу ХХ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 1 січня до 1 липня 2015 року (або до дати, визначеної в окремому рішенні Верховної Ради України (далі – рішення ВРУ) про скорочення терміну перехідного періоду відповідно до пункту 7 Прикінцевих положень Закону № 71) – у тестовому режимі;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 1 липня 2015 року – на постійній основі.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Система електронного адміністрування ПДВ, що організована на центральному рівні ДФС, забезпечує автоматичний облік у розрізі платників податку: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сум податку, що містяться у виданих та отриманих податкових накладних, зареєстрованих в Єдиному реєстрі податкових накладних (далі – ЄРПН), та розрахунках коригування до них;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сум податку, сплачених платниками при ввезенні товарів на митну територію України;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сум поповнення та залишку коштів на рахунках у системі електронного адміністрування ПДВ;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суми податку, на яку платники мають право зареєструвати податкові накладні в ЄРПН.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Система електронного адміністрування ПДВ не вносить кардинальних змін до загальних принципів справляння ПДВ, затверджених Кодексом. Норми Кодексу, які визначають коло платників ПДВ, об’єкт оподаткування, принципи формування податкових зобов’язань та податкового кредиту, залишаються незмінними.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Електронні рахунки платників у системі електронного адміністрування ПДВ.</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Електронний рахунок у системі електронного адміністрування ПДВ   (далі – електронний рахунок) – рахунок, відкритий платнику податку в Казначействі, на який платником перераховуються кошти з власного поточного рахунку в сумах, необхідних для збільшення розміру суми, на яку платник податку має право </w:t>
      </w:r>
      <w:r w:rsidRPr="00A3059C">
        <w:rPr>
          <w:rFonts w:eastAsia="Times New Roman" w:cs="Times New Roman"/>
          <w:lang w:val="uk-UA"/>
        </w:rPr>
        <w:lastRenderedPageBreak/>
        <w:t xml:space="preserve">зареєструвати податкові накладні та/або розрахунки коригування кількісних і вартісних показників до податкової накладної (далі – розрахунок коригування) в ЄРПН, а також у сумах, недостатніх для сплати до бюджету узгоджених податкових зобов'язань з цього податку.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Для кожного платника податку Казначейством відкрито один електронний рахунок.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Відкриття та обслуговування електронних рахунків Казначейством здійснюється на безоплатній основі. Інформація про рух коштів на електронних рахунках платникам податку надається ДФС України за відповідним запитом платника на безоплатній основі без обмеження кількості запитів та у часі.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Датою початку використання електронного рахунку є 01.02.2015 для суб’єктів господарювання, які зареєстровані платниками ПДВ до 01.02.2015, а для суб’єктів господарювання, які будуть зареєстровані як платники ПДВ у будь-який період після 01.02.2015 – дата їх реєстрації платниками податку.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Протягом дії системи електронного адміністрування ПДВ у тестовому режимі платники податку самостійно зараховують на такі електронні рахунки кошти з власних поточних рахунків, відкритих у банківських установах, у сумах, необхідних для сплати до бюджету узгоджених податкових зобов'язань з цього податку, задекларованих ними в податковій звітності з ПДВ.</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З 1 липня 2015 року (або з дати, визначеної в окремому рішенні Верховної Ради України про скорочення перехідного періоду) на рахунки в системі електронного адміністрування ПДВ платники податку зараховують також кошти у сумах, необхідних для збільшення розміру суми, що обчислюється відповідно до пункту 200</w:t>
      </w:r>
      <w:r w:rsidRPr="00A3059C">
        <w:rPr>
          <w:rFonts w:eastAsia="Times New Roman" w:cs="Times New Roman"/>
          <w:vertAlign w:val="superscript"/>
          <w:lang w:val="uk-UA"/>
        </w:rPr>
        <w:t>1</w:t>
      </w:r>
      <w:r w:rsidRPr="00A3059C">
        <w:rPr>
          <w:rFonts w:eastAsia="Times New Roman" w:cs="Times New Roman"/>
          <w:lang w:val="uk-UA"/>
        </w:rPr>
        <w:t>.3 статті 200</w:t>
      </w:r>
      <w:r w:rsidRPr="00A3059C">
        <w:rPr>
          <w:rFonts w:eastAsia="Times New Roman" w:cs="Times New Roman"/>
          <w:vertAlign w:val="superscript"/>
          <w:lang w:val="uk-UA"/>
        </w:rPr>
        <w:t>1</w:t>
      </w:r>
      <w:r w:rsidRPr="00A3059C">
        <w:rPr>
          <w:rFonts w:eastAsia="Times New Roman" w:cs="Times New Roman"/>
          <w:lang w:val="uk-UA"/>
        </w:rPr>
        <w:t xml:space="preserve"> Кодексу та надає право для реєстрації в ЄРПН податкових накладних/розрахунків коригування.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Поповнення електронного рахунка платника ПДВ за рахунок інших джерел, наприклад, з поточних рахунків інших осіб, не передбачено.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Кошти з електронного рахунку платника ПДВ перераховуються Казначейством в автоматичному режимі до бюджету та/або на рахунок, відкритий у банку та/або органі Казначейства сільськогосподарськими підприємствами – суб’єктами спеціального режиму оподаткування, визначений статтею 209 Кодексу (далі – спецрежим), для акумулювання сум податку, що нараховуються на вартість поставлених ними сільськогосподарських товарів (послуг), у порядку, передбаченому статтею 209 Кодексу (далі – спеціальні рахунки). Таке перерахування коштів здійснюється на підставі реєстрів платників ПДВ, який автоматично формується ДФС та надсилається Казначейству.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Особливості формування та реєстрації в ЄРПН податкових накладних в період тестового режиму.</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Починаючи з 1 січня 2015 року, всі податкові накладні/розрахунки коригування до них складаються платниками податку виключно в електронному вигляді.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Складання податкових накладних/розрахунків коригування здійснюється за формою і в порядку, затвердженими наказом Міністерства фінансів України від 22.09.2014 № 957 "Про затвердження форми податкової накладної та Порядку заповнення податкової накладної", зареєстрованим у Міністерстві юстиції України 13.10.2014 за № 1235/26012, із змінами, внесеними наказом Міністерства фінансів України від14.11.2014№ 1129 "Про внесення змін до наказу Міністерства фінансів України від 22 вересня 2014 року № 957", зареєстрованим у Міністерстві юстиції України17.11.2014за №1455/26232.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До 1 лютого 2015 року платникам податку на додану вартість надано можливість реєстрації податкових накладних/розрахунків коригування до них в Єдиному реєстрі податкових накладних (далі – ЄРПН) незалежно від суми податку на додану вартість, що міститься у податковій накладній/розрахунку коригування.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lastRenderedPageBreak/>
        <w:t xml:space="preserve">З 1 лютого 2015 року обов’язковій реєстрації в ЄРПН підлягатимуть всі податкові накладні, сформовані за операціями, датованими починаючи з 1 лютого 2015 року, в тому числі податкові накладні, складені за операціями з постачання товарів/послуг, які звільнені від оподаткування, а також податкові накладні, що не надаються покупцю, а також незалежно від суми ПДВ, вказаній в такій податковій накладній. Розрахунок коригування до таких податкових накладних також обов’язково реєструється в ЄРПН.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Реєстрація податкових накладних/розрахунків коригування в ЄРПН з 1 лютого 2015 року до 1 липня 2015 року здійснюється без обмеження сумою податку, обчисленою за формулою, визначеною пунктом 200</w:t>
      </w:r>
      <w:r w:rsidRPr="00A3059C">
        <w:rPr>
          <w:rFonts w:eastAsia="Times New Roman" w:cs="Times New Roman"/>
          <w:vertAlign w:val="superscript"/>
          <w:lang w:val="uk-UA"/>
        </w:rPr>
        <w:t>1</w:t>
      </w:r>
      <w:r w:rsidRPr="00A3059C">
        <w:rPr>
          <w:rFonts w:eastAsia="Times New Roman" w:cs="Times New Roman"/>
          <w:lang w:val="uk-UA"/>
        </w:rPr>
        <w:t>.3 статті 200</w:t>
      </w:r>
      <w:r w:rsidRPr="00A3059C">
        <w:rPr>
          <w:rFonts w:eastAsia="Times New Roman" w:cs="Times New Roman"/>
          <w:vertAlign w:val="superscript"/>
          <w:lang w:val="uk-UA"/>
        </w:rPr>
        <w:t>1</w:t>
      </w:r>
      <w:r w:rsidRPr="00A3059C">
        <w:rPr>
          <w:rFonts w:eastAsia="Times New Roman" w:cs="Times New Roman"/>
          <w:lang w:val="uk-UA"/>
        </w:rPr>
        <w:t xml:space="preserve"> розділу V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Отже, протягом дії тестового режиму системи електронного адміністрування ПДВ відсутні обмеження щодо реєстрації в ЄРПН податкових накладних/розрахунків коригування. Тобто реєстрація податкових накладних/розрахунків коригування в ЄРПН протягом тестового режиму здійснюється незалежно від наявності "вхідних" податкових накладних, сплати ПДВ під час розмитнення товарів, а також без поповнення рахунка в системі електронного адміністрування ПДВ (абзац другий пункту 35 підрозділу 2 розділу ХХ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Термін реєстрації податкових накладних/розрахунків коригування в ЄРПН не змінився та становить 15 календарних днів з дати складання податкової накладної/розрахунку коригування (пункт 201.10 статті 201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Податкові накладні, складені за операціями, здійсненими після 01.02.2015, можуть бути зареєстровані в ЄРПН після закінчення 15-денного терміну реєстрації із одночасним застосуванням штрафів, визначених пунктом 120</w:t>
      </w:r>
      <w:r w:rsidRPr="00A3059C">
        <w:rPr>
          <w:rFonts w:eastAsia="Times New Roman" w:cs="Times New Roman"/>
          <w:vertAlign w:val="superscript"/>
          <w:lang w:val="uk-UA"/>
        </w:rPr>
        <w:t>1</w:t>
      </w:r>
      <w:r w:rsidRPr="00A3059C">
        <w:rPr>
          <w:rFonts w:eastAsia="Times New Roman" w:cs="Times New Roman"/>
          <w:lang w:val="uk-UA"/>
        </w:rPr>
        <w:t>.1 статті 120</w:t>
      </w:r>
      <w:r w:rsidRPr="00A3059C">
        <w:rPr>
          <w:rFonts w:eastAsia="Times New Roman" w:cs="Times New Roman"/>
          <w:vertAlign w:val="superscript"/>
          <w:lang w:val="uk-UA"/>
        </w:rPr>
        <w:t>1</w:t>
      </w:r>
      <w:r w:rsidRPr="00A3059C">
        <w:rPr>
          <w:rFonts w:eastAsia="Times New Roman" w:cs="Times New Roman"/>
          <w:lang w:val="uk-UA"/>
        </w:rPr>
        <w:t xml:space="preserve"> Кодексу, але не пізніше 180 днів з дати їх складання. Штрафи за порушення платниками податку термінів реєстрації податкових накладних в ЄРПН застосовуватимуться у таких розмірах: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20 відсотків від суми ПДВ, зазначеної в податкових накладних/розрахунках коригування, – у разі порушення терміну реєстрації від 16 до 30 календарних днів;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30 відсотків від суми ПДВ, зазначеної в податкових накладних/розрахунках коригування, – у разі порушення терміну реєстрації від 31 до 60 календарних днів;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40 відсотків від суми ПДВ, зазначеної в податкових накладних/розрахунках коригування, – у разі порушення терміну реєстрації на 61 і більше календарних днів.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Штрафи за несвоєчасну реєстрацію податкових накладних/розрахунків коригування до них в ЄРПН застосовуються у разі, якщо такі податкові накладні/розрахунки коригування до них підлягають наданню покупцям – платникам податку на додану вартість.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Штраф, передбачений пунктом 120</w:t>
      </w:r>
      <w:r w:rsidRPr="00A3059C">
        <w:rPr>
          <w:rFonts w:eastAsia="Times New Roman" w:cs="Times New Roman"/>
          <w:b/>
          <w:bCs/>
          <w:vertAlign w:val="superscript"/>
          <w:lang w:val="uk-UA"/>
        </w:rPr>
        <w:t>1</w:t>
      </w:r>
      <w:r w:rsidRPr="00A3059C">
        <w:rPr>
          <w:rFonts w:eastAsia="Times New Roman" w:cs="Times New Roman"/>
          <w:b/>
          <w:bCs/>
          <w:lang w:val="uk-UA"/>
        </w:rPr>
        <w:t>.1 статті 120</w:t>
      </w:r>
      <w:r w:rsidRPr="00A3059C">
        <w:rPr>
          <w:rFonts w:eastAsia="Times New Roman" w:cs="Times New Roman"/>
          <w:b/>
          <w:bCs/>
          <w:vertAlign w:val="superscript"/>
          <w:lang w:val="uk-UA"/>
        </w:rPr>
        <w:t>1</w:t>
      </w:r>
      <w:r w:rsidRPr="00A3059C">
        <w:rPr>
          <w:rFonts w:eastAsia="Times New Roman" w:cs="Times New Roman"/>
          <w:b/>
          <w:bCs/>
          <w:lang w:val="uk-UA"/>
        </w:rPr>
        <w:t> Кодексу (у розмірі 10 відсотків від суми ПДВ, зазначеної в податкових накладних/розрахунках коригування, за порушення терміну реєстрації податкових накладних/розрахунках коригування в ЄРПН до 15 днів), не застосовуватиметься у період з 1 січня по 30 червня 2015 року.</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Тобто, якщо податкова накладна/розрахунок коригування зареєстровані протягом 30 календарних днів з дати їх складання, то з 01.02.2015 по 01.07.2015 штраф,</w:t>
      </w:r>
      <w:r w:rsidRPr="00A3059C">
        <w:rPr>
          <w:rFonts w:eastAsia="Times New Roman" w:cs="Times New Roman"/>
          <w:lang w:val="uk-UA"/>
        </w:rPr>
        <w:t> </w:t>
      </w:r>
      <w:r w:rsidRPr="00A3059C">
        <w:rPr>
          <w:rFonts w:eastAsia="Times New Roman" w:cs="Times New Roman"/>
          <w:b/>
          <w:bCs/>
          <w:lang w:val="uk-UA"/>
        </w:rPr>
        <w:t>передбачений пунктом 120</w:t>
      </w:r>
      <w:r w:rsidRPr="00A3059C">
        <w:rPr>
          <w:rFonts w:eastAsia="Times New Roman" w:cs="Times New Roman"/>
          <w:b/>
          <w:bCs/>
          <w:vertAlign w:val="superscript"/>
          <w:lang w:val="uk-UA"/>
        </w:rPr>
        <w:t>1</w:t>
      </w:r>
      <w:r w:rsidRPr="00A3059C">
        <w:rPr>
          <w:rFonts w:eastAsia="Times New Roman" w:cs="Times New Roman"/>
          <w:b/>
          <w:bCs/>
          <w:lang w:val="uk-UA"/>
        </w:rPr>
        <w:t>.1 статті 120</w:t>
      </w:r>
      <w:r w:rsidRPr="00A3059C">
        <w:rPr>
          <w:rFonts w:eastAsia="Times New Roman" w:cs="Times New Roman"/>
          <w:b/>
          <w:bCs/>
          <w:vertAlign w:val="superscript"/>
          <w:lang w:val="uk-UA"/>
        </w:rPr>
        <w:t>1</w:t>
      </w:r>
      <w:r w:rsidRPr="00A3059C">
        <w:rPr>
          <w:rFonts w:eastAsia="Times New Roman" w:cs="Times New Roman"/>
          <w:b/>
          <w:bCs/>
          <w:lang w:val="uk-UA"/>
        </w:rPr>
        <w:t> Кодексу (у розмірі 10 відсотків від суми ПДВ, зазначеної в податкових накладних/розрахунках коригування), не застосовується.</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Покупці – платники податку мають можливість отримувати з ЄРПН електронні копії податкових накладних/розрахунків коригування, які зареєстровані в ЄРПН їх контрагентами – постачальниками.</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lastRenderedPageBreak/>
        <w:t xml:space="preserve">З метою отримання податкової накладної/розрахунку коригування, зареєстрованих в ЄРПН, покупець надсилає в електронному вигляді запит до ЄРПН, за яким отримує в електронному вигляді повідомлення про реєстрацію податкової накладної/розрахунку коригування в ЄРПН та податкову накладну/розрахунок коригування в електронному вигляді (пункт 201.10 статті 201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Податкова накладна, складена в електронному вигляді, яка отримана з ЄРПН  покупцем, вважається такою, що отримана від постачальника.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Враховуючи те, що з 1 січня до 1 лютого 2015 року не всі податкові накладні/розрахунки коригування підлягають обов’язковій реєстрації в ЄРПН, а також те, що відповідно до підпункту 4.1.4 пункту 4.1 статті 4 Кодексу однією із засад податкового законодавства України є презумпція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 штрафи, визначені пунктом 120</w:t>
      </w:r>
      <w:r w:rsidRPr="00A3059C">
        <w:rPr>
          <w:rFonts w:eastAsia="Times New Roman" w:cs="Times New Roman"/>
          <w:vertAlign w:val="superscript"/>
          <w:lang w:val="uk-UA"/>
        </w:rPr>
        <w:t>1</w:t>
      </w:r>
      <w:r w:rsidRPr="00A3059C">
        <w:rPr>
          <w:rFonts w:eastAsia="Times New Roman" w:cs="Times New Roman"/>
          <w:lang w:val="uk-UA"/>
        </w:rPr>
        <w:t>.1 статті 120</w:t>
      </w:r>
      <w:r w:rsidRPr="00A3059C">
        <w:rPr>
          <w:rFonts w:eastAsia="Times New Roman" w:cs="Times New Roman"/>
          <w:vertAlign w:val="superscript"/>
          <w:lang w:val="uk-UA"/>
        </w:rPr>
        <w:t>1</w:t>
      </w:r>
      <w:r w:rsidRPr="00A3059C">
        <w:rPr>
          <w:rFonts w:eastAsia="Times New Roman" w:cs="Times New Roman"/>
          <w:lang w:val="uk-UA"/>
        </w:rPr>
        <w:t xml:space="preserve"> Кодексу, в цей період не застосовуються.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Крім того, правило щодо формування податкового кредиту виключно за рахунок тих податкових накладних, які зареєстровані в ЄРПН, починає застосовуватися з 1 лютого 2015 року. При цьому слід враховувати, що податкові накладні, складені за операціями з постачання товарів/послуг, здійсненими після 1 лютого 2015 року, та зареєстровані з порушенням встановленого строку, включатимуться до податкового кредиту того звітного періоду, в якому було здійснено їх реєстрацію в ЄРПН.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 1 січня 2015 року платникам податків надано можливість виправлення помилок у податкових накладних шляхом складання розрахунку коригування до таких накладних.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У межах системи електронного адміністрування ПДВ з 01.02.2015 запроваджується такий порядок реєстрації в ЄРПН розрахунку коригування до податкової накладної.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Розрахунок коригування, складений постачальником товарів/послуг до податкової накладної, виданої їх отримувачу - платнику податку, підлягає реєстрації в ЄРПН: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1) постачальником товарів/послуг, якщо передбачається збільшення суми компенсації їх вартості на користь такого постачальника (продавця) або якщо коригування кількісних та вартісних показників у підсумку не змінює суму компенсації;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2) отримувачем товарів/послуг, якщо передбачається зменшення суми компенсації вартості товарів/послуг їх постачальнику (продавцю), для чого постачальник (продавець) надсилає складений розрахунок коригування отримувачу (покупцю).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 урахуванням вимог підпункту 4.1.4 пункту 4.1 статті 4 Кодексу розрахунок коригування, складений постачальником товарів (послуг) до податкової накладної, яка видана їх отримувачу – платнику податку, та в якому передбачається зменшення суми компенсації вартості товарів/послуг їх постачальнику, підлягає реєстрації в ЄРПН отримувачем (покупцем) товарів (послуг) з 1 лютого 2015 року відповідно до пункту 16 Порядку № 569.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Реєстрація зазначених розрахунків коригування з 1 січня 2015 року до 1 лютого 2015 року здійснюватиметься постачальником (продавцем) товарів/послуг.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Застосування системи електронного адміністрування ПДВ після закінчення тестового режиму.</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 1 липня 2015 року (або іншої дати згідно з рішенням ВРУ) до правил, що діють протягом тестового періоду (зазначені в попередньому розділі цього листа), додаються такі.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lastRenderedPageBreak/>
        <w:t>Реєстрація податкових накладних/розрахунків коригування в ЄРПН здійснюватиметься в межах суми, обчисленої за формулою, встановленою пунктом 200</w:t>
      </w:r>
      <w:r w:rsidRPr="00A3059C">
        <w:rPr>
          <w:rFonts w:eastAsia="Times New Roman" w:cs="Times New Roman"/>
          <w:vertAlign w:val="superscript"/>
          <w:lang w:val="uk-UA"/>
        </w:rPr>
        <w:t>1</w:t>
      </w:r>
      <w:r w:rsidRPr="00A3059C">
        <w:rPr>
          <w:rFonts w:eastAsia="Times New Roman" w:cs="Times New Roman"/>
          <w:lang w:val="uk-UA"/>
        </w:rPr>
        <w:t>.3 статті 200</w:t>
      </w:r>
      <w:r w:rsidRPr="00A3059C">
        <w:rPr>
          <w:rFonts w:eastAsia="Times New Roman" w:cs="Times New Roman"/>
          <w:vertAlign w:val="superscript"/>
          <w:lang w:val="uk-UA"/>
        </w:rPr>
        <w:t>1</w:t>
      </w:r>
      <w:r w:rsidRPr="00A3059C">
        <w:rPr>
          <w:rFonts w:eastAsia="Times New Roman" w:cs="Times New Roman"/>
          <w:lang w:val="uk-UA"/>
        </w:rPr>
        <w:t xml:space="preserve"> розділу V Кодексу, тобто для реєстрації податкових накладних в ЄРПН платник податку повинен мати достатню суму податкового кредиту, підтверджену зареєстрованими в ЄРПН "вхідними" податковими накладними, сплатою ПДВ при імпорті товарів та (за недостатності таких сум) коштами на його рахунку у системі електронного адміністрування ПДВ.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За порушення платниками податку до 15 днів терміну реєстрації податкових накладних, що підлягають наданню покупцям – платникам податку на додану вартість, та розрахунків коригування до них в ЄРПН застосовуватиметься штраф у розмірі 10 відсотків від суми ПДВ, зазначеної в таких податкових накладних/розрахунках коригування.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Платникам податку 01.07.2015 (або на дату згідно з рішенням ВРУ) автоматично збільшується розмір суми, на яку платник має право зареєструвати податкові накладні/розрахунки коригування в ЄРПН, на суму середньомісячного розміру суми податку, задекларованої платником до сплати до бюджету за останні 12 звітних (податкових) місяців/ 4 квартали та погашеної. Розмір такої суми підлягає щоквартальному автоматичному перерахунку.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Суми помилково та/або надміру сплачених грошових зобов'язань з ПДВ станом на 1 липня 2014 року (або на дату згідно з рішенням ВРУ) автоматично збільшують суму податку, на яку платник має право зареєструвати податкові накладні/розрахунки коригування в ЄРПН, після чого вважаються погашеними. Одночасно такі суми зменшують розмір податкових зобов’язань, що підлягають сплаті в бюджет, або збільшують розмір від’ємного значення об’єкта оподаткування за звітний період, в якому відбулося таке збільшення.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Подання податкової звітності та розрахунки з бюджетом.</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Починаючи з першого звітного періоду 2015 року (січень/ І квартал), податкова звітність з ПДВ подається до контролюючого органу всіма платниками податку виключно в електронній формі з дотриманням умови щодо реєстрації електронного підпису підзвітних осіб у порядку, визначеному законодавством.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Таким чином, для забезпечення накладання електронного цифрового підпису платникам ПДВ необхідно буде мати посилені сертифікати відкритих ключів (далі – посилені сертифікати), які можна отримати в Акредитованому центрі сертифікації ключів (далі – АЦСК) Інформаційно-довідкового департаменту ДФС (безоплатно) або в будь-якому з його відокремлених пунктів реєстрації користувачів (адреси таких пунктів розміщено на офіційному інформаційному ресурсі АЦСК Інформаційно-довідкового департаменту ДФС: http://www.acskidd.gov.ua), або в інших АЦСК.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Платники ПДВ, які на сьогодні подають податкову звітність в електронному вигляді та вже мають посилені сертифікати, можуть продовжувати їх використання після 1 січня 2015 року (з урахуванням їх строку чинності).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Подання податкової звітності з ПДВ за звітні (податкові) періоди грудень 2014 року/ІV квартал 2014 року здійснюватиметься за формою і в порядку, затвердженими наказом Міністерства фінансів України від 23.09.2014 № 966 "Про затвердження форм та Порядку заповнення і подання податкової звітності з податку на додану вартість", який зареєстровано у Міністерстві юстиції України 14.10.2014 за № 1267/26044.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Сплата податку на додану вартість до бюджету за звітний період грудень 2014 року, січень 2015 року/ ІV квартал 2014 року буде здійснюватися платником податку зі свого поточного рахунку безпосередньо на бюджетні рахунки, а за звітні податкові періоди, починаючи з лютого 2015 року/ І квартал 2015 року – з рахунку в системі електронного адміністрування ПДВ у порядку, визначеному пунктом 200.2 статті 200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lastRenderedPageBreak/>
        <w:t xml:space="preserve">Перерахування коштів до бюджету з рахунку в системі електронного адміністрування ПДВ здійснюється відповідно до реєстру, який автоматично формується ДФС на підставі поданих платниками податкових декларацій з ПДВ, та не пізніше ніж за три робочі дні до закінчення граничного строку для самостійної сплати податкових зобов’язань надсилається  Казначейству.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Перерахування суми податку до бюджету та/або на спеціальні рахунки платників податку з їх електронних рахунків здійснюється Казначейством не пізніше останнього дня строку для самостійної сплати податкових зобов’язань, в межах залишку таких коштів на електронних рахунках (пункт 200.2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Для сплати податку на додану вартість до бюджету з рахунку в системі електронного адміністрування ПДВ необхідно перерахувати з поточного рахунку платника на його рахунок в системі електронного адміністрування ПДВ, відкритий йому в Казначействі, суму коштів, що дорівнює сумі податкових зобов’язань, задекларованих ним до сплати в бюджет за відповідний звітний (податковий) період. Таке перерахування на електронний рахунок платнику слід здійснювати не пізніше граничного строку для самостійної сплати податкових зобов’язань, зокрема, за для сплати узгоджених податкових зобов’язань за звітний період лютий 2015 року – не пізніше 30 березня 2015 року.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Якщо платник у строки, встановлені Кодексом для самостійної сплати платником податкових зобов’язань, не забезпечив наявність на його електронному рахунку коштів для сплати узгоджених податкових зобов'язань/перерахування на спеціальний рахунок, Казначейством виконання реєстрів, надісланих ДФС, здійснюється в межах залишку коштів на рахунку в системі електронного адміністрування податку. Невиконаний (не сплачений) за таким реєстром залишок узгоджених податкових зобов’язань платника обліковується Казначейством до повного виконання шляхом перерахування до бюджету/спеціального рахунку коштів, що перераховуються платником з власного поточного рахунку на його електронний рахунок (пункт 22 Порядку № 569).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Розрахунки з бюджетом після 01.02.2015 у зв’язку з поданням уточнюючих розрахунків, сплата податкових зобов’язань, визначених контролюючим органом, та сплата штрафних санкцій і пені здійснюються платником податку до бюджету не з електронного рахунку, а з власного поточного рахунку (пункт 25 Порядку № 569).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Тобто з електронного рахунку погашаються суми податкових зобов’язань, задекларованих платником податку в податкових деклараціях з ПДВ за звітні (податкові) періоди з 01.02.2015, а суми податкових зобов’язань з ПДВ, які платник визначив в уточнюючих розрахунках до податкових декларацій з ПДВ, суми ПДВ, донараховані платнику контролюючим органом за результатами перевірок, суми штрафів та пені сплачуються не з електронного рахунку платника, а з його поточного рахунку.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Спеціальний режим оподаткування у сільському господарстві.</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Платникам податку, які застосовують спеціальний режим оподаткування, визначений статтею 209 Кодексу, у системі електронного адміністрування податку відкривається єдиний електронний рахунок для обліку сум податку як в межах діяльності, визначеної статтею 209 Кодексу, так і у межах іншої діяльності.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У випадку, якщо платником податку, який застосовує спецрежим, за результатами звітного періоду задекларовано суми податку, які підлягають сплаті як до бюджету, так і на його спеціальний рахунок, кошти з його електронного рахунку, у першу чергу, перераховуються до бюджету, а у разі повного розрахунку з бюджетом – на спеціальний рахунок такого платника (пункт 22 Порядку № 569).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Таке перерахування здійснюється на підставі реєстру, який автоматично формується ДФС України на підставі поданих платниками податкових декларацій з ПДВ та надсилається  Казначейству. Перерахування суми податку до бюджету та/або на спеціальні рахунки платників податку з їх електронних рахунків здійснюється Казначейством в межах залишку таких коштів на електронних рахунках (пункт 21 Порядку №569).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lastRenderedPageBreak/>
        <w:t xml:space="preserve">Зазначене правило стосується також і платників податку – сільськогосподарських підприємств усіх форм власності, які відповідають критеріям, визначеним статтею 209 розділу V Кодексу, але не зареєструвалися як суб’єкти спеціального режиму оподаткування.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Для забезпечення в умовах дії системи електронного адміністрування ПДВ спрямування сум ПДВ на підтримку власного виробництва суб’єкти спецрежиму - платники ПДВ повинні надати контролюючому органу за місцем своєї реєстрації платником ПДВ інформацію про реквізити поточного рахунку, на який має бути перерахована відповідна сума з електронного рахунку такого платника, та актуалізувати такі дані у разі зміни реквізитів поточного рахунку.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b/>
          <w:bCs/>
          <w:lang w:val="uk-UA"/>
        </w:rPr>
        <w:t>Інші зміни до Кодексу, які запроваджуються з 1 січня 2015 року у зв’язку з набранням чинності Законом № 71.</w:t>
      </w: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1. Збільшується з 300 тис.грн. (без ПДВ) до 1 млн.грн. (без ПДВ) граничний обсяг загальної суми від здійснення операцій з постачання товарів/послуг, що підлягають оподаткуванню згідно з розділом V Кодексу, у тому числі з використанням локальної або глобальної комп'ютерної мережі, протягом останніх 12 календарних місяців, із досягненням якого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розділу V Кодексу (пункт 181.1 статті 181 розділу V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Тобто з 01.01.2015 суб’єкт господарювання зобов’язаний зареєструватися як платник податку у контролюючому органі за своїм місцезнаходженням (місцем проживання) з дотриманням вимог, передбачених статтею 183 розділу V Кодексу, крім особи, яка є платником єдиного податку, у разі, якщо загальна сума від здійснення операцій з постачання товарів/послуг, що підлягають оподаткуванню згідно з цим розділом,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w:t>
      </w:r>
      <w:r w:rsidRPr="00A3059C">
        <w:rPr>
          <w:rFonts w:eastAsia="Times New Roman" w:cs="Times New Roman"/>
          <w:b/>
          <w:bCs/>
          <w:lang w:val="uk-UA"/>
        </w:rPr>
        <w:t> </w:t>
      </w:r>
      <w:r w:rsidRPr="00A3059C">
        <w:rPr>
          <w:rFonts w:eastAsia="Times New Roman" w:cs="Times New Roman"/>
          <w:lang w:val="uk-UA"/>
        </w:rPr>
        <w:t xml:space="preserve">млн.грн. (без урахування ПДВ).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Правила, встановлені розділом V Кодексу, для добровільної реєстрації особи як платника ПДВ не змінилися.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Платники ПДВ, у яких станом на 01.01.2015 обсяг оподатковуваних операцій за останні 12 календарних місяців не перевищує 1 млн.грн., отримують можливість анулювати свою реєстрацію платника ПДВ.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2. Відповідно до пункту 188.1 статті 188 Кодексу база оподаткування операцій з постачання товарів/послуг визначається не нижче ціни придбання таких товарів/послуг, база оподаткування операцій з постачання самостійно виготовлених товарів/послуг – не нижче їх собівартості, а база оподаткування операцій з постачання необоротних активів – не нижче балансової (залишкової) вартості (у разі відсутності обліку необоротних активів – виходячи із звичайної ціни, за винятком товарів (послуг), ціни на які підлягають державному регулюванню, та газу, який постачається для потреб населення.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3. До 31 грудня 2017 року продовжено режим звільнення від оподаткування ПДВ операцій з постачання зернових і технічних культур (пункт 15</w:t>
      </w:r>
      <w:r w:rsidRPr="00A3059C">
        <w:rPr>
          <w:rFonts w:eastAsia="Times New Roman" w:cs="Times New Roman"/>
          <w:vertAlign w:val="superscript"/>
          <w:lang w:val="uk-UA"/>
        </w:rPr>
        <w:t>2</w:t>
      </w:r>
      <w:r w:rsidRPr="00A3059C">
        <w:rPr>
          <w:rFonts w:eastAsia="Times New Roman" w:cs="Times New Roman"/>
          <w:lang w:val="uk-UA"/>
        </w:rPr>
        <w:t xml:space="preserve"> підрозділу 2 розділу ХХ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Відповідно до такого режиму від оподаткування податком на додану вартість звільняються операції з постачання на митній території України зернових та технічних культур, зазначених в абзаці першому пункту 15</w:t>
      </w:r>
      <w:r w:rsidRPr="00A3059C">
        <w:rPr>
          <w:rFonts w:eastAsia="Times New Roman" w:cs="Times New Roman"/>
          <w:vertAlign w:val="superscript"/>
          <w:lang w:val="uk-UA"/>
        </w:rPr>
        <w:t>2</w:t>
      </w:r>
      <w:r w:rsidRPr="00A3059C">
        <w:rPr>
          <w:rFonts w:eastAsia="Times New Roman" w:cs="Times New Roman"/>
          <w:lang w:val="uk-UA"/>
        </w:rPr>
        <w:t xml:space="preserve"> підрозділу 2 розділу ХХ Кодексу, крім першого постачання таких зернових та технічних культур сільськогосподарськими підприємствами – виробниками та підприємствами, які безпосередньо придбали такі зернові та технічні культури у сільськогосподарських підприємств – виробників.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Операції з вивезення в митному режимі експорту зернових та технічних культур, зазначених в абзаці першому пункту 15</w:t>
      </w:r>
      <w:r w:rsidRPr="00A3059C">
        <w:rPr>
          <w:rFonts w:eastAsia="Times New Roman" w:cs="Times New Roman"/>
          <w:vertAlign w:val="superscript"/>
          <w:lang w:val="uk-UA"/>
        </w:rPr>
        <w:t>2</w:t>
      </w:r>
      <w:r w:rsidRPr="00A3059C">
        <w:rPr>
          <w:rFonts w:eastAsia="Times New Roman" w:cs="Times New Roman"/>
          <w:lang w:val="uk-UA"/>
        </w:rPr>
        <w:t xml:space="preserve"> підрозділу 2 розділу ХХ Кодексу, звільняються від оподаткування податком на додану вартість.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lastRenderedPageBreak/>
        <w:t xml:space="preserve">Одночасно дію пункту 197.21 статті 197 розділу V Кодексу призупинено до 31 грудня 2017 року включно.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4. До 1 січня 2017 року продовжено режим звільнення від оподаткування ПДВ операцій з постачання, у тому числі операції з імпорту, відходів та брухту чорних і кольорових металів, а також паперу та картону для утилізації (макулатури та відходів) товарної позиції 4707 згідно з УКТ ЗЕД (пункт 23 підрозділу 2 розділу ХХ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Разом з тим Кодексом встановлено, що переліки таких відходів та брухту чорних і кольорових металів мають бути затверджені Кабінетом Міністрів України. Постанова Кабінету Міністрів України від 5 лютого 2014 року № 43 "Про внесення змін до постанови Кабінету Міністрів України від 12 січня 2011 року № 15" діяла до 1 січня 2015 року. Таким чином, до затвердження Кабінетом Міністрів України нових переліків відходів та брухту чорних і кольорових металів чи продовження дії попередніх оподаткування операцій з постачання таких відходів здійснюється за ставкою 20 відсотків.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5. На відміну від діючого до кінця 2014 року порядку, починаючи з 01.01.2015, отримувач послуг, що постачаються нерезидентами, місце постачання яких розташоване на митній території України, отримує право на податковий кредит за такими операціями на дату складання ним податкової накладної за цими операціями, за умови її реєстрації в ЄРПН (пункт 198.2 статті 198 та пункт 208.2 статті 208 розділу V Кодексу).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У зв’язку з цим необхідно враховувати, що у розділі ІІ "Податковий кредит" податкової декларації з ПДВ за січень (І квартал) 2015 року може бути одночасно відображений податковий кредит за операціями з отримання послуг від нерезидента, які були здійснені у грудні (ІV кварталі 2014 року) та в січні (І кварталі) 2015 року.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  </w:t>
      </w:r>
    </w:p>
    <w:p w:rsidR="00A3059C" w:rsidRPr="00A3059C" w:rsidRDefault="00A3059C" w:rsidP="00A3059C">
      <w:pPr>
        <w:spacing w:before="100" w:beforeAutospacing="1" w:after="100" w:afterAutospacing="1" w:line="240" w:lineRule="auto"/>
        <w:rPr>
          <w:rFonts w:eastAsia="Times New Roman" w:cs="Times New Roman"/>
          <w:lang w:val="uk-UA"/>
        </w:rPr>
      </w:pPr>
      <w:r w:rsidRPr="00A3059C">
        <w:rPr>
          <w:rFonts w:eastAsia="Times New Roman" w:cs="Times New Roman"/>
          <w:lang w:val="uk-UA"/>
        </w:rPr>
        <w:t xml:space="preserve">Одночасно повідомляємо, що лист ДФС України від 10.12.2014 № 14618/7/99-99-19-03-01-17 скасовується. </w:t>
      </w:r>
    </w:p>
    <w:p w:rsidR="00A3059C" w:rsidRPr="00A3059C" w:rsidRDefault="00A3059C" w:rsidP="00A3059C">
      <w:pPr>
        <w:spacing w:before="100" w:beforeAutospacing="1" w:after="100" w:afterAutospacing="1" w:line="240" w:lineRule="auto"/>
        <w:jc w:val="left"/>
        <w:rPr>
          <w:rFonts w:eastAsia="Times New Roman" w:cs="Times New Roman"/>
          <w:lang w:val="uk-UA"/>
        </w:rPr>
      </w:pPr>
      <w:r w:rsidRPr="00A3059C">
        <w:rPr>
          <w:rFonts w:eastAsia="Times New Roman" w:cs="Times New Roman"/>
          <w:lang w:val="uk-UA"/>
        </w:rPr>
        <w:t xml:space="preserve">  </w:t>
      </w:r>
    </w:p>
    <w:tbl>
      <w:tblPr>
        <w:tblW w:w="0" w:type="auto"/>
        <w:tblCellSpacing w:w="0" w:type="dxa"/>
        <w:tblCellMar>
          <w:left w:w="0" w:type="dxa"/>
          <w:right w:w="0" w:type="dxa"/>
        </w:tblCellMar>
        <w:tblLook w:val="04A0"/>
      </w:tblPr>
      <w:tblGrid>
        <w:gridCol w:w="4785"/>
        <w:gridCol w:w="5115"/>
      </w:tblGrid>
      <w:tr w:rsidR="00A3059C" w:rsidRPr="00A3059C" w:rsidTr="00A3059C">
        <w:trPr>
          <w:tblCellSpacing w:w="0" w:type="dxa"/>
        </w:trPr>
        <w:tc>
          <w:tcPr>
            <w:tcW w:w="4785" w:type="dxa"/>
            <w:hideMark/>
          </w:tcPr>
          <w:p w:rsidR="00A3059C" w:rsidRPr="00A3059C" w:rsidRDefault="00A3059C" w:rsidP="00A3059C">
            <w:pPr>
              <w:spacing w:before="100" w:beforeAutospacing="1" w:after="100" w:afterAutospacing="1" w:line="240" w:lineRule="auto"/>
              <w:jc w:val="left"/>
              <w:rPr>
                <w:rFonts w:eastAsia="Times New Roman" w:cs="Times New Roman"/>
                <w:lang w:val="uk-UA"/>
              </w:rPr>
            </w:pPr>
            <w:r w:rsidRPr="00A3059C">
              <w:rPr>
                <w:rFonts w:eastAsia="Times New Roman" w:cs="Times New Roman"/>
                <w:b/>
                <w:bCs/>
                <w:lang w:val="uk-UA"/>
              </w:rPr>
              <w:t>Голова</w:t>
            </w:r>
            <w:r w:rsidRPr="00A3059C">
              <w:rPr>
                <w:rFonts w:eastAsia="Times New Roman" w:cs="Times New Roman"/>
                <w:lang w:val="uk-UA"/>
              </w:rPr>
              <w:t xml:space="preserve"> </w:t>
            </w:r>
          </w:p>
        </w:tc>
        <w:tc>
          <w:tcPr>
            <w:tcW w:w="5115" w:type="dxa"/>
            <w:hideMark/>
          </w:tcPr>
          <w:p w:rsidR="00A3059C" w:rsidRPr="00A3059C" w:rsidRDefault="00A3059C" w:rsidP="00A3059C">
            <w:pPr>
              <w:spacing w:before="100" w:beforeAutospacing="1" w:after="100" w:afterAutospacing="1" w:line="240" w:lineRule="auto"/>
              <w:jc w:val="right"/>
              <w:rPr>
                <w:rFonts w:eastAsia="Times New Roman" w:cs="Times New Roman"/>
                <w:lang w:val="uk-UA"/>
              </w:rPr>
            </w:pPr>
            <w:r w:rsidRPr="00A3059C">
              <w:rPr>
                <w:rFonts w:eastAsia="Times New Roman" w:cs="Times New Roman"/>
                <w:b/>
                <w:bCs/>
                <w:lang w:val="uk-UA"/>
              </w:rPr>
              <w:t>І.О. Білоус</w:t>
            </w:r>
            <w:r w:rsidRPr="00A3059C">
              <w:rPr>
                <w:rFonts w:eastAsia="Times New Roman" w:cs="Times New Roman"/>
                <w:lang w:val="uk-UA"/>
              </w:rPr>
              <w:t xml:space="preserve"> </w:t>
            </w:r>
          </w:p>
        </w:tc>
      </w:tr>
    </w:tbl>
    <w:p w:rsidR="00716ACA" w:rsidRPr="00A3059C" w:rsidRDefault="00716ACA">
      <w:pPr>
        <w:rPr>
          <w:rFonts w:cs="Times New Roman"/>
          <w:lang w:val="uk-UA"/>
        </w:rPr>
      </w:pPr>
    </w:p>
    <w:sectPr w:rsidR="00716ACA" w:rsidRPr="00A3059C" w:rsidSect="007A1C3E">
      <w:pgSz w:w="12240" w:h="15840"/>
      <w:pgMar w:top="568"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20"/>
  <w:drawingGridHorizontalSpacing w:val="110"/>
  <w:displayHorizontalDrawingGridEvery w:val="2"/>
  <w:displayVerticalDrawingGridEvery w:val="2"/>
  <w:characterSpacingControl w:val="doNotCompress"/>
  <w:compat/>
  <w:rsids>
    <w:rsidRoot w:val="00A3059C"/>
    <w:rsid w:val="0000494C"/>
    <w:rsid w:val="00006F87"/>
    <w:rsid w:val="00011504"/>
    <w:rsid w:val="000147BA"/>
    <w:rsid w:val="00016617"/>
    <w:rsid w:val="000215C2"/>
    <w:rsid w:val="000218E7"/>
    <w:rsid w:val="000258A9"/>
    <w:rsid w:val="00026883"/>
    <w:rsid w:val="00026B2C"/>
    <w:rsid w:val="00027702"/>
    <w:rsid w:val="00027B15"/>
    <w:rsid w:val="00031DB1"/>
    <w:rsid w:val="00032537"/>
    <w:rsid w:val="0004140F"/>
    <w:rsid w:val="00041822"/>
    <w:rsid w:val="00045C9E"/>
    <w:rsid w:val="0004659C"/>
    <w:rsid w:val="00052ECC"/>
    <w:rsid w:val="000536CD"/>
    <w:rsid w:val="00055AD2"/>
    <w:rsid w:val="000562C4"/>
    <w:rsid w:val="00063B6B"/>
    <w:rsid w:val="00065E5C"/>
    <w:rsid w:val="000742C6"/>
    <w:rsid w:val="00074F82"/>
    <w:rsid w:val="00080706"/>
    <w:rsid w:val="0008437A"/>
    <w:rsid w:val="000852C7"/>
    <w:rsid w:val="00087F62"/>
    <w:rsid w:val="00093B81"/>
    <w:rsid w:val="00095D37"/>
    <w:rsid w:val="0009730E"/>
    <w:rsid w:val="000A116D"/>
    <w:rsid w:val="000A2F92"/>
    <w:rsid w:val="000A4362"/>
    <w:rsid w:val="000B18CD"/>
    <w:rsid w:val="000B5D42"/>
    <w:rsid w:val="000C0263"/>
    <w:rsid w:val="000C27D4"/>
    <w:rsid w:val="000C4C77"/>
    <w:rsid w:val="000C599B"/>
    <w:rsid w:val="000D01FB"/>
    <w:rsid w:val="000D7DA7"/>
    <w:rsid w:val="000E157B"/>
    <w:rsid w:val="000E4F3C"/>
    <w:rsid w:val="000E53B5"/>
    <w:rsid w:val="000E69E6"/>
    <w:rsid w:val="000F3E31"/>
    <w:rsid w:val="001002A3"/>
    <w:rsid w:val="00105232"/>
    <w:rsid w:val="00105C29"/>
    <w:rsid w:val="00107BF6"/>
    <w:rsid w:val="0011104F"/>
    <w:rsid w:val="00112654"/>
    <w:rsid w:val="00113FF8"/>
    <w:rsid w:val="00116D08"/>
    <w:rsid w:val="001227A4"/>
    <w:rsid w:val="001238BE"/>
    <w:rsid w:val="00125AD1"/>
    <w:rsid w:val="001338D2"/>
    <w:rsid w:val="00133988"/>
    <w:rsid w:val="001413C7"/>
    <w:rsid w:val="00141561"/>
    <w:rsid w:val="00146961"/>
    <w:rsid w:val="00150A69"/>
    <w:rsid w:val="00152382"/>
    <w:rsid w:val="00154820"/>
    <w:rsid w:val="00155745"/>
    <w:rsid w:val="001567D8"/>
    <w:rsid w:val="00157A5F"/>
    <w:rsid w:val="0016686C"/>
    <w:rsid w:val="0016740D"/>
    <w:rsid w:val="00167CF7"/>
    <w:rsid w:val="001743D3"/>
    <w:rsid w:val="001774DB"/>
    <w:rsid w:val="0018047C"/>
    <w:rsid w:val="00181846"/>
    <w:rsid w:val="00182916"/>
    <w:rsid w:val="0018401D"/>
    <w:rsid w:val="001870AD"/>
    <w:rsid w:val="0019033F"/>
    <w:rsid w:val="001911B4"/>
    <w:rsid w:val="00191D63"/>
    <w:rsid w:val="001939D4"/>
    <w:rsid w:val="0019576B"/>
    <w:rsid w:val="001A232E"/>
    <w:rsid w:val="001B25B8"/>
    <w:rsid w:val="001D2F50"/>
    <w:rsid w:val="001D54C1"/>
    <w:rsid w:val="001E0147"/>
    <w:rsid w:val="001E11BC"/>
    <w:rsid w:val="001E13CA"/>
    <w:rsid w:val="001E1E8E"/>
    <w:rsid w:val="001F0F63"/>
    <w:rsid w:val="001F1D84"/>
    <w:rsid w:val="001F5976"/>
    <w:rsid w:val="001F7E6C"/>
    <w:rsid w:val="00206A8B"/>
    <w:rsid w:val="00207BC2"/>
    <w:rsid w:val="00210A6A"/>
    <w:rsid w:val="00212D34"/>
    <w:rsid w:val="0022077E"/>
    <w:rsid w:val="00222B20"/>
    <w:rsid w:val="002230C8"/>
    <w:rsid w:val="0022693F"/>
    <w:rsid w:val="002375A5"/>
    <w:rsid w:val="00242B01"/>
    <w:rsid w:val="00250A6D"/>
    <w:rsid w:val="00254E42"/>
    <w:rsid w:val="00254F1E"/>
    <w:rsid w:val="002559E9"/>
    <w:rsid w:val="00261426"/>
    <w:rsid w:val="0026370E"/>
    <w:rsid w:val="00266E21"/>
    <w:rsid w:val="00277815"/>
    <w:rsid w:val="00280C2C"/>
    <w:rsid w:val="0028154A"/>
    <w:rsid w:val="002816CB"/>
    <w:rsid w:val="00287455"/>
    <w:rsid w:val="00290564"/>
    <w:rsid w:val="002941D1"/>
    <w:rsid w:val="00294648"/>
    <w:rsid w:val="00294E76"/>
    <w:rsid w:val="002958FD"/>
    <w:rsid w:val="00296C74"/>
    <w:rsid w:val="002A3002"/>
    <w:rsid w:val="002A3C09"/>
    <w:rsid w:val="002A4F3A"/>
    <w:rsid w:val="002A714E"/>
    <w:rsid w:val="002B2060"/>
    <w:rsid w:val="002B4318"/>
    <w:rsid w:val="002B461B"/>
    <w:rsid w:val="002B60D5"/>
    <w:rsid w:val="002C432E"/>
    <w:rsid w:val="002C61D6"/>
    <w:rsid w:val="002D00DE"/>
    <w:rsid w:val="002D6C5B"/>
    <w:rsid w:val="002E5208"/>
    <w:rsid w:val="002E67C4"/>
    <w:rsid w:val="002F0121"/>
    <w:rsid w:val="002F0E25"/>
    <w:rsid w:val="002F3B45"/>
    <w:rsid w:val="002F654B"/>
    <w:rsid w:val="002F7B94"/>
    <w:rsid w:val="00301FB8"/>
    <w:rsid w:val="0030317C"/>
    <w:rsid w:val="0030592E"/>
    <w:rsid w:val="003072D9"/>
    <w:rsid w:val="003079EB"/>
    <w:rsid w:val="0031561A"/>
    <w:rsid w:val="00317925"/>
    <w:rsid w:val="00321E9D"/>
    <w:rsid w:val="003223FF"/>
    <w:rsid w:val="0032662B"/>
    <w:rsid w:val="00327DA2"/>
    <w:rsid w:val="003304C1"/>
    <w:rsid w:val="00332E2D"/>
    <w:rsid w:val="00343222"/>
    <w:rsid w:val="003463E2"/>
    <w:rsid w:val="00347952"/>
    <w:rsid w:val="00350F0C"/>
    <w:rsid w:val="00353893"/>
    <w:rsid w:val="003559DE"/>
    <w:rsid w:val="00356A92"/>
    <w:rsid w:val="00360663"/>
    <w:rsid w:val="0036268E"/>
    <w:rsid w:val="0036284C"/>
    <w:rsid w:val="0036342E"/>
    <w:rsid w:val="003635C0"/>
    <w:rsid w:val="00367347"/>
    <w:rsid w:val="003724E8"/>
    <w:rsid w:val="00376C34"/>
    <w:rsid w:val="00376E35"/>
    <w:rsid w:val="00383932"/>
    <w:rsid w:val="00383D8B"/>
    <w:rsid w:val="00384323"/>
    <w:rsid w:val="003848F0"/>
    <w:rsid w:val="00391509"/>
    <w:rsid w:val="003A097F"/>
    <w:rsid w:val="003A0BA2"/>
    <w:rsid w:val="003A1B44"/>
    <w:rsid w:val="003A315B"/>
    <w:rsid w:val="003A3A19"/>
    <w:rsid w:val="003A70C8"/>
    <w:rsid w:val="003B0DAD"/>
    <w:rsid w:val="003B22CE"/>
    <w:rsid w:val="003B5B6C"/>
    <w:rsid w:val="003B6FFD"/>
    <w:rsid w:val="003B728A"/>
    <w:rsid w:val="003C6601"/>
    <w:rsid w:val="003C6870"/>
    <w:rsid w:val="003C7AC2"/>
    <w:rsid w:val="003D216E"/>
    <w:rsid w:val="003D42F8"/>
    <w:rsid w:val="003D65C0"/>
    <w:rsid w:val="003D7A98"/>
    <w:rsid w:val="003E35CF"/>
    <w:rsid w:val="003E3786"/>
    <w:rsid w:val="003E38AB"/>
    <w:rsid w:val="003E3A99"/>
    <w:rsid w:val="003F4D85"/>
    <w:rsid w:val="003F69AE"/>
    <w:rsid w:val="004012DD"/>
    <w:rsid w:val="0040775F"/>
    <w:rsid w:val="00413D13"/>
    <w:rsid w:val="00415601"/>
    <w:rsid w:val="004226C5"/>
    <w:rsid w:val="0042742D"/>
    <w:rsid w:val="00427785"/>
    <w:rsid w:val="0043094B"/>
    <w:rsid w:val="004363AE"/>
    <w:rsid w:val="004417A3"/>
    <w:rsid w:val="00441942"/>
    <w:rsid w:val="0045219E"/>
    <w:rsid w:val="00461E70"/>
    <w:rsid w:val="00471EA0"/>
    <w:rsid w:val="004839F1"/>
    <w:rsid w:val="00484364"/>
    <w:rsid w:val="004851FB"/>
    <w:rsid w:val="00485B8B"/>
    <w:rsid w:val="004919BF"/>
    <w:rsid w:val="00493233"/>
    <w:rsid w:val="00493535"/>
    <w:rsid w:val="004936C5"/>
    <w:rsid w:val="004967D3"/>
    <w:rsid w:val="004A13FC"/>
    <w:rsid w:val="004A287A"/>
    <w:rsid w:val="004A625F"/>
    <w:rsid w:val="004A6EEB"/>
    <w:rsid w:val="004B165C"/>
    <w:rsid w:val="004B21CF"/>
    <w:rsid w:val="004B62E9"/>
    <w:rsid w:val="004C1A13"/>
    <w:rsid w:val="004C32A7"/>
    <w:rsid w:val="004C4136"/>
    <w:rsid w:val="004C6059"/>
    <w:rsid w:val="004E13B7"/>
    <w:rsid w:val="004E3AF6"/>
    <w:rsid w:val="004E705E"/>
    <w:rsid w:val="004F296F"/>
    <w:rsid w:val="005019D3"/>
    <w:rsid w:val="0050612A"/>
    <w:rsid w:val="00510863"/>
    <w:rsid w:val="00512FB9"/>
    <w:rsid w:val="0051373E"/>
    <w:rsid w:val="005253CC"/>
    <w:rsid w:val="005259AC"/>
    <w:rsid w:val="00526AD8"/>
    <w:rsid w:val="00531C5E"/>
    <w:rsid w:val="00532657"/>
    <w:rsid w:val="00533E90"/>
    <w:rsid w:val="00534A14"/>
    <w:rsid w:val="00534D09"/>
    <w:rsid w:val="00541286"/>
    <w:rsid w:val="00541AD9"/>
    <w:rsid w:val="005428A2"/>
    <w:rsid w:val="00544A90"/>
    <w:rsid w:val="00546E10"/>
    <w:rsid w:val="00555638"/>
    <w:rsid w:val="00556358"/>
    <w:rsid w:val="00560EE6"/>
    <w:rsid w:val="00562AB9"/>
    <w:rsid w:val="00571D90"/>
    <w:rsid w:val="00577AC0"/>
    <w:rsid w:val="0058255A"/>
    <w:rsid w:val="00583134"/>
    <w:rsid w:val="00583E98"/>
    <w:rsid w:val="00592881"/>
    <w:rsid w:val="005A38F8"/>
    <w:rsid w:val="005A4A5B"/>
    <w:rsid w:val="005A69FF"/>
    <w:rsid w:val="005A6ECD"/>
    <w:rsid w:val="005B1431"/>
    <w:rsid w:val="005B5231"/>
    <w:rsid w:val="005C0C1C"/>
    <w:rsid w:val="005C1B2B"/>
    <w:rsid w:val="005C36FE"/>
    <w:rsid w:val="005C3C10"/>
    <w:rsid w:val="005C5E40"/>
    <w:rsid w:val="005C7336"/>
    <w:rsid w:val="005D116E"/>
    <w:rsid w:val="005D388B"/>
    <w:rsid w:val="005D6D38"/>
    <w:rsid w:val="005E02CB"/>
    <w:rsid w:val="005E45A5"/>
    <w:rsid w:val="005E52DF"/>
    <w:rsid w:val="005E6079"/>
    <w:rsid w:val="005E7078"/>
    <w:rsid w:val="005F0CB3"/>
    <w:rsid w:val="005F3156"/>
    <w:rsid w:val="005F3CAA"/>
    <w:rsid w:val="005F3DD2"/>
    <w:rsid w:val="005F614F"/>
    <w:rsid w:val="00616FD9"/>
    <w:rsid w:val="006205F9"/>
    <w:rsid w:val="00620604"/>
    <w:rsid w:val="00620AA4"/>
    <w:rsid w:val="00626BD1"/>
    <w:rsid w:val="0063133D"/>
    <w:rsid w:val="00631440"/>
    <w:rsid w:val="0063339A"/>
    <w:rsid w:val="00640EF0"/>
    <w:rsid w:val="00646436"/>
    <w:rsid w:val="00646F32"/>
    <w:rsid w:val="00651E8D"/>
    <w:rsid w:val="00653568"/>
    <w:rsid w:val="006560B1"/>
    <w:rsid w:val="00660B89"/>
    <w:rsid w:val="00664371"/>
    <w:rsid w:val="00670042"/>
    <w:rsid w:val="00672766"/>
    <w:rsid w:val="00674B1B"/>
    <w:rsid w:val="00674C6D"/>
    <w:rsid w:val="00674F0F"/>
    <w:rsid w:val="00676899"/>
    <w:rsid w:val="00682EDD"/>
    <w:rsid w:val="00684845"/>
    <w:rsid w:val="00686907"/>
    <w:rsid w:val="006926DE"/>
    <w:rsid w:val="0069327B"/>
    <w:rsid w:val="006972C9"/>
    <w:rsid w:val="006A32A9"/>
    <w:rsid w:val="006B0B82"/>
    <w:rsid w:val="006B0D95"/>
    <w:rsid w:val="006B10D5"/>
    <w:rsid w:val="006B2743"/>
    <w:rsid w:val="006B6AFD"/>
    <w:rsid w:val="006B788A"/>
    <w:rsid w:val="006C356D"/>
    <w:rsid w:val="006C70A8"/>
    <w:rsid w:val="006D0702"/>
    <w:rsid w:val="006D5DFE"/>
    <w:rsid w:val="006D679E"/>
    <w:rsid w:val="006F1B12"/>
    <w:rsid w:val="006F5C44"/>
    <w:rsid w:val="006F6DD4"/>
    <w:rsid w:val="007078BB"/>
    <w:rsid w:val="00707C62"/>
    <w:rsid w:val="00712079"/>
    <w:rsid w:val="00712313"/>
    <w:rsid w:val="007136F6"/>
    <w:rsid w:val="00715D02"/>
    <w:rsid w:val="00716ACA"/>
    <w:rsid w:val="00722202"/>
    <w:rsid w:val="00722F1D"/>
    <w:rsid w:val="007259A7"/>
    <w:rsid w:val="007266BC"/>
    <w:rsid w:val="00732216"/>
    <w:rsid w:val="00732399"/>
    <w:rsid w:val="00737DD5"/>
    <w:rsid w:val="00742F5B"/>
    <w:rsid w:val="0074319E"/>
    <w:rsid w:val="007502DA"/>
    <w:rsid w:val="007510BF"/>
    <w:rsid w:val="00753B3A"/>
    <w:rsid w:val="00754A18"/>
    <w:rsid w:val="0076004E"/>
    <w:rsid w:val="00760088"/>
    <w:rsid w:val="00763A72"/>
    <w:rsid w:val="007654B4"/>
    <w:rsid w:val="007733D6"/>
    <w:rsid w:val="00773D96"/>
    <w:rsid w:val="007805DD"/>
    <w:rsid w:val="007806C9"/>
    <w:rsid w:val="0079014D"/>
    <w:rsid w:val="00790481"/>
    <w:rsid w:val="00791582"/>
    <w:rsid w:val="00795254"/>
    <w:rsid w:val="00797777"/>
    <w:rsid w:val="007A1C3E"/>
    <w:rsid w:val="007A5C3E"/>
    <w:rsid w:val="007B62BE"/>
    <w:rsid w:val="007B69F1"/>
    <w:rsid w:val="007B716B"/>
    <w:rsid w:val="007B79B7"/>
    <w:rsid w:val="007C266E"/>
    <w:rsid w:val="007C4621"/>
    <w:rsid w:val="007C4EA2"/>
    <w:rsid w:val="007D01EE"/>
    <w:rsid w:val="007D12F6"/>
    <w:rsid w:val="007D367D"/>
    <w:rsid w:val="007D6D31"/>
    <w:rsid w:val="007D6FFD"/>
    <w:rsid w:val="007D7030"/>
    <w:rsid w:val="007E228B"/>
    <w:rsid w:val="007E2E58"/>
    <w:rsid w:val="007F05FA"/>
    <w:rsid w:val="007F3889"/>
    <w:rsid w:val="007F62D5"/>
    <w:rsid w:val="007F74DF"/>
    <w:rsid w:val="007F7E42"/>
    <w:rsid w:val="00802706"/>
    <w:rsid w:val="00802EBB"/>
    <w:rsid w:val="008055F9"/>
    <w:rsid w:val="0081212E"/>
    <w:rsid w:val="0081491A"/>
    <w:rsid w:val="00823A8C"/>
    <w:rsid w:val="008240F5"/>
    <w:rsid w:val="008242C3"/>
    <w:rsid w:val="00825C76"/>
    <w:rsid w:val="00827D63"/>
    <w:rsid w:val="00834226"/>
    <w:rsid w:val="008362EF"/>
    <w:rsid w:val="00836D8E"/>
    <w:rsid w:val="00841A94"/>
    <w:rsid w:val="00842440"/>
    <w:rsid w:val="008429E7"/>
    <w:rsid w:val="00845A5F"/>
    <w:rsid w:val="0084635C"/>
    <w:rsid w:val="00846F1E"/>
    <w:rsid w:val="00854408"/>
    <w:rsid w:val="008544B9"/>
    <w:rsid w:val="008545E8"/>
    <w:rsid w:val="008551DD"/>
    <w:rsid w:val="0086140D"/>
    <w:rsid w:val="00861F02"/>
    <w:rsid w:val="00862679"/>
    <w:rsid w:val="00862EB8"/>
    <w:rsid w:val="0086381C"/>
    <w:rsid w:val="008638E1"/>
    <w:rsid w:val="00871512"/>
    <w:rsid w:val="008736E5"/>
    <w:rsid w:val="00874243"/>
    <w:rsid w:val="00875212"/>
    <w:rsid w:val="00875F7D"/>
    <w:rsid w:val="00882E58"/>
    <w:rsid w:val="00883AC3"/>
    <w:rsid w:val="00886AA5"/>
    <w:rsid w:val="008873EC"/>
    <w:rsid w:val="00887A53"/>
    <w:rsid w:val="00897686"/>
    <w:rsid w:val="008A397D"/>
    <w:rsid w:val="008A7457"/>
    <w:rsid w:val="008B0575"/>
    <w:rsid w:val="008B4C14"/>
    <w:rsid w:val="008B78E6"/>
    <w:rsid w:val="008C2E2B"/>
    <w:rsid w:val="008C3055"/>
    <w:rsid w:val="008D117A"/>
    <w:rsid w:val="008D12DF"/>
    <w:rsid w:val="008D5280"/>
    <w:rsid w:val="008D5D5B"/>
    <w:rsid w:val="008D6C00"/>
    <w:rsid w:val="008D7D4E"/>
    <w:rsid w:val="008E13F6"/>
    <w:rsid w:val="008E36D0"/>
    <w:rsid w:val="008E42DF"/>
    <w:rsid w:val="008E50AB"/>
    <w:rsid w:val="008F18A5"/>
    <w:rsid w:val="008F2330"/>
    <w:rsid w:val="008F3180"/>
    <w:rsid w:val="008F4247"/>
    <w:rsid w:val="008F786F"/>
    <w:rsid w:val="00902FE6"/>
    <w:rsid w:val="0090312E"/>
    <w:rsid w:val="0090375A"/>
    <w:rsid w:val="00907E84"/>
    <w:rsid w:val="009126B9"/>
    <w:rsid w:val="00914646"/>
    <w:rsid w:val="00916E87"/>
    <w:rsid w:val="009213FD"/>
    <w:rsid w:val="00921921"/>
    <w:rsid w:val="00923AA4"/>
    <w:rsid w:val="009242D5"/>
    <w:rsid w:val="009278E9"/>
    <w:rsid w:val="00927AF3"/>
    <w:rsid w:val="009324D3"/>
    <w:rsid w:val="009337EE"/>
    <w:rsid w:val="00936673"/>
    <w:rsid w:val="009369B1"/>
    <w:rsid w:val="00936B42"/>
    <w:rsid w:val="0093762C"/>
    <w:rsid w:val="00937AE2"/>
    <w:rsid w:val="009403FB"/>
    <w:rsid w:val="009479B1"/>
    <w:rsid w:val="009512E6"/>
    <w:rsid w:val="00951845"/>
    <w:rsid w:val="009523B8"/>
    <w:rsid w:val="00954BAD"/>
    <w:rsid w:val="00955E8E"/>
    <w:rsid w:val="00961FA5"/>
    <w:rsid w:val="00964719"/>
    <w:rsid w:val="00964903"/>
    <w:rsid w:val="00965084"/>
    <w:rsid w:val="009665E6"/>
    <w:rsid w:val="00980198"/>
    <w:rsid w:val="00980563"/>
    <w:rsid w:val="00981E64"/>
    <w:rsid w:val="00982B79"/>
    <w:rsid w:val="009833F0"/>
    <w:rsid w:val="00983A16"/>
    <w:rsid w:val="0099095A"/>
    <w:rsid w:val="00990C4A"/>
    <w:rsid w:val="0099559F"/>
    <w:rsid w:val="00996D9B"/>
    <w:rsid w:val="00996DCC"/>
    <w:rsid w:val="009A536E"/>
    <w:rsid w:val="009A590A"/>
    <w:rsid w:val="009B0510"/>
    <w:rsid w:val="009B1A0D"/>
    <w:rsid w:val="009B1A45"/>
    <w:rsid w:val="009B5A7A"/>
    <w:rsid w:val="009C2079"/>
    <w:rsid w:val="009D220F"/>
    <w:rsid w:val="009D280D"/>
    <w:rsid w:val="009D337C"/>
    <w:rsid w:val="009D5472"/>
    <w:rsid w:val="009D7A79"/>
    <w:rsid w:val="009E00EE"/>
    <w:rsid w:val="009F2587"/>
    <w:rsid w:val="009F2ED2"/>
    <w:rsid w:val="009F3CE6"/>
    <w:rsid w:val="009F432F"/>
    <w:rsid w:val="00A008F1"/>
    <w:rsid w:val="00A10D54"/>
    <w:rsid w:val="00A137B9"/>
    <w:rsid w:val="00A1743B"/>
    <w:rsid w:val="00A23ECD"/>
    <w:rsid w:val="00A23F00"/>
    <w:rsid w:val="00A24660"/>
    <w:rsid w:val="00A27B2F"/>
    <w:rsid w:val="00A3036C"/>
    <w:rsid w:val="00A3059C"/>
    <w:rsid w:val="00A31094"/>
    <w:rsid w:val="00A31FF5"/>
    <w:rsid w:val="00A3227E"/>
    <w:rsid w:val="00A360AF"/>
    <w:rsid w:val="00A44A48"/>
    <w:rsid w:val="00A51B7A"/>
    <w:rsid w:val="00A569B2"/>
    <w:rsid w:val="00A651A6"/>
    <w:rsid w:val="00A65F14"/>
    <w:rsid w:val="00A71282"/>
    <w:rsid w:val="00A71DFA"/>
    <w:rsid w:val="00A73A69"/>
    <w:rsid w:val="00A7524F"/>
    <w:rsid w:val="00A7597F"/>
    <w:rsid w:val="00A76102"/>
    <w:rsid w:val="00A76DA5"/>
    <w:rsid w:val="00A82666"/>
    <w:rsid w:val="00A848ED"/>
    <w:rsid w:val="00A85C31"/>
    <w:rsid w:val="00A87B8F"/>
    <w:rsid w:val="00A91607"/>
    <w:rsid w:val="00A9220F"/>
    <w:rsid w:val="00A97C00"/>
    <w:rsid w:val="00AA6482"/>
    <w:rsid w:val="00AA66BD"/>
    <w:rsid w:val="00AB236A"/>
    <w:rsid w:val="00AB3E99"/>
    <w:rsid w:val="00AC08B1"/>
    <w:rsid w:val="00AC2DAD"/>
    <w:rsid w:val="00AC3A2F"/>
    <w:rsid w:val="00AC6E5D"/>
    <w:rsid w:val="00AC7EFB"/>
    <w:rsid w:val="00AD0B76"/>
    <w:rsid w:val="00AD121A"/>
    <w:rsid w:val="00AD1883"/>
    <w:rsid w:val="00AD4E47"/>
    <w:rsid w:val="00AE1D3D"/>
    <w:rsid w:val="00AF3422"/>
    <w:rsid w:val="00AF39E0"/>
    <w:rsid w:val="00AF4CA9"/>
    <w:rsid w:val="00AF4F61"/>
    <w:rsid w:val="00B006E0"/>
    <w:rsid w:val="00B0421D"/>
    <w:rsid w:val="00B04769"/>
    <w:rsid w:val="00B063EC"/>
    <w:rsid w:val="00B11400"/>
    <w:rsid w:val="00B17508"/>
    <w:rsid w:val="00B22AB6"/>
    <w:rsid w:val="00B26B80"/>
    <w:rsid w:val="00B34104"/>
    <w:rsid w:val="00B35BD4"/>
    <w:rsid w:val="00B4158D"/>
    <w:rsid w:val="00B42CE3"/>
    <w:rsid w:val="00B43054"/>
    <w:rsid w:val="00B449B8"/>
    <w:rsid w:val="00B44FED"/>
    <w:rsid w:val="00B453C2"/>
    <w:rsid w:val="00B46138"/>
    <w:rsid w:val="00B525D0"/>
    <w:rsid w:val="00B62173"/>
    <w:rsid w:val="00B64909"/>
    <w:rsid w:val="00B64934"/>
    <w:rsid w:val="00B70186"/>
    <w:rsid w:val="00B71317"/>
    <w:rsid w:val="00B71E4D"/>
    <w:rsid w:val="00B72B7F"/>
    <w:rsid w:val="00B758A0"/>
    <w:rsid w:val="00B81648"/>
    <w:rsid w:val="00B81BF8"/>
    <w:rsid w:val="00B845FF"/>
    <w:rsid w:val="00B852B4"/>
    <w:rsid w:val="00B91D71"/>
    <w:rsid w:val="00B921CA"/>
    <w:rsid w:val="00B94E78"/>
    <w:rsid w:val="00B965F4"/>
    <w:rsid w:val="00BA2F6A"/>
    <w:rsid w:val="00BA7276"/>
    <w:rsid w:val="00BB2277"/>
    <w:rsid w:val="00BB2CC1"/>
    <w:rsid w:val="00BB4901"/>
    <w:rsid w:val="00BB4B33"/>
    <w:rsid w:val="00BC2667"/>
    <w:rsid w:val="00BC713B"/>
    <w:rsid w:val="00BD2AA6"/>
    <w:rsid w:val="00BD3D18"/>
    <w:rsid w:val="00BD715D"/>
    <w:rsid w:val="00BE0A81"/>
    <w:rsid w:val="00BE1AC6"/>
    <w:rsid w:val="00BE1B6C"/>
    <w:rsid w:val="00BE2170"/>
    <w:rsid w:val="00BE3D3C"/>
    <w:rsid w:val="00BE5F13"/>
    <w:rsid w:val="00BE76A1"/>
    <w:rsid w:val="00BF11D4"/>
    <w:rsid w:val="00BF13A6"/>
    <w:rsid w:val="00BF5941"/>
    <w:rsid w:val="00BF5B3C"/>
    <w:rsid w:val="00C02A5D"/>
    <w:rsid w:val="00C061EE"/>
    <w:rsid w:val="00C0701B"/>
    <w:rsid w:val="00C109E1"/>
    <w:rsid w:val="00C11C31"/>
    <w:rsid w:val="00C272DF"/>
    <w:rsid w:val="00C3152B"/>
    <w:rsid w:val="00C37A6B"/>
    <w:rsid w:val="00C47422"/>
    <w:rsid w:val="00C5380A"/>
    <w:rsid w:val="00C56D0B"/>
    <w:rsid w:val="00C60B83"/>
    <w:rsid w:val="00C61709"/>
    <w:rsid w:val="00C620F4"/>
    <w:rsid w:val="00C64506"/>
    <w:rsid w:val="00C7237E"/>
    <w:rsid w:val="00C7263B"/>
    <w:rsid w:val="00C7278D"/>
    <w:rsid w:val="00C72F8B"/>
    <w:rsid w:val="00C76F97"/>
    <w:rsid w:val="00C82622"/>
    <w:rsid w:val="00C83233"/>
    <w:rsid w:val="00C83C45"/>
    <w:rsid w:val="00C85043"/>
    <w:rsid w:val="00C8516B"/>
    <w:rsid w:val="00C92F6D"/>
    <w:rsid w:val="00C9381F"/>
    <w:rsid w:val="00CA035F"/>
    <w:rsid w:val="00CB14DD"/>
    <w:rsid w:val="00CB1628"/>
    <w:rsid w:val="00CB579B"/>
    <w:rsid w:val="00CB7B90"/>
    <w:rsid w:val="00CC4105"/>
    <w:rsid w:val="00CD6996"/>
    <w:rsid w:val="00CD69D4"/>
    <w:rsid w:val="00CD744D"/>
    <w:rsid w:val="00CE0140"/>
    <w:rsid w:val="00CE0784"/>
    <w:rsid w:val="00CE15E7"/>
    <w:rsid w:val="00CF0964"/>
    <w:rsid w:val="00CF17CA"/>
    <w:rsid w:val="00CF21D6"/>
    <w:rsid w:val="00CF3B79"/>
    <w:rsid w:val="00CF6A31"/>
    <w:rsid w:val="00CF7597"/>
    <w:rsid w:val="00D014AC"/>
    <w:rsid w:val="00D02999"/>
    <w:rsid w:val="00D07655"/>
    <w:rsid w:val="00D14DFA"/>
    <w:rsid w:val="00D160D5"/>
    <w:rsid w:val="00D2222F"/>
    <w:rsid w:val="00D23F4F"/>
    <w:rsid w:val="00D2429C"/>
    <w:rsid w:val="00D24521"/>
    <w:rsid w:val="00D32F6A"/>
    <w:rsid w:val="00D33DFD"/>
    <w:rsid w:val="00D429CE"/>
    <w:rsid w:val="00D44CAB"/>
    <w:rsid w:val="00D53504"/>
    <w:rsid w:val="00D5507E"/>
    <w:rsid w:val="00D60A66"/>
    <w:rsid w:val="00D632C2"/>
    <w:rsid w:val="00D65E2E"/>
    <w:rsid w:val="00D71CDB"/>
    <w:rsid w:val="00D73BCE"/>
    <w:rsid w:val="00D8404A"/>
    <w:rsid w:val="00D85719"/>
    <w:rsid w:val="00D87A08"/>
    <w:rsid w:val="00D90409"/>
    <w:rsid w:val="00D9348F"/>
    <w:rsid w:val="00D97248"/>
    <w:rsid w:val="00DA06BB"/>
    <w:rsid w:val="00DA23B5"/>
    <w:rsid w:val="00DA3012"/>
    <w:rsid w:val="00DA4478"/>
    <w:rsid w:val="00DA63A2"/>
    <w:rsid w:val="00DB0F14"/>
    <w:rsid w:val="00DB22A1"/>
    <w:rsid w:val="00DB314A"/>
    <w:rsid w:val="00DC64DD"/>
    <w:rsid w:val="00DC72BE"/>
    <w:rsid w:val="00DD0F70"/>
    <w:rsid w:val="00DD221D"/>
    <w:rsid w:val="00DD2951"/>
    <w:rsid w:val="00DD6FC1"/>
    <w:rsid w:val="00DE0B4E"/>
    <w:rsid w:val="00DE1E57"/>
    <w:rsid w:val="00DE3B0D"/>
    <w:rsid w:val="00DE3F01"/>
    <w:rsid w:val="00DE4794"/>
    <w:rsid w:val="00DF0324"/>
    <w:rsid w:val="00DF1FFC"/>
    <w:rsid w:val="00DF442B"/>
    <w:rsid w:val="00DF4D4F"/>
    <w:rsid w:val="00DF6FE4"/>
    <w:rsid w:val="00E03D38"/>
    <w:rsid w:val="00E03D52"/>
    <w:rsid w:val="00E03EC6"/>
    <w:rsid w:val="00E04D37"/>
    <w:rsid w:val="00E071BC"/>
    <w:rsid w:val="00E1008D"/>
    <w:rsid w:val="00E14220"/>
    <w:rsid w:val="00E15D89"/>
    <w:rsid w:val="00E2062D"/>
    <w:rsid w:val="00E22995"/>
    <w:rsid w:val="00E2407B"/>
    <w:rsid w:val="00E279EE"/>
    <w:rsid w:val="00E31E63"/>
    <w:rsid w:val="00E336A9"/>
    <w:rsid w:val="00E4321B"/>
    <w:rsid w:val="00E4607B"/>
    <w:rsid w:val="00E46D22"/>
    <w:rsid w:val="00E540B2"/>
    <w:rsid w:val="00E56B98"/>
    <w:rsid w:val="00E65530"/>
    <w:rsid w:val="00E6553E"/>
    <w:rsid w:val="00E67347"/>
    <w:rsid w:val="00E81172"/>
    <w:rsid w:val="00E845B0"/>
    <w:rsid w:val="00E8508E"/>
    <w:rsid w:val="00E9350C"/>
    <w:rsid w:val="00EA2AEB"/>
    <w:rsid w:val="00EA3277"/>
    <w:rsid w:val="00EB181E"/>
    <w:rsid w:val="00EB234E"/>
    <w:rsid w:val="00EB4A8C"/>
    <w:rsid w:val="00EB5F35"/>
    <w:rsid w:val="00EC34CB"/>
    <w:rsid w:val="00EC3DD5"/>
    <w:rsid w:val="00EC3E1D"/>
    <w:rsid w:val="00ED1B75"/>
    <w:rsid w:val="00ED3794"/>
    <w:rsid w:val="00EE04EB"/>
    <w:rsid w:val="00EE0FEB"/>
    <w:rsid w:val="00EE110B"/>
    <w:rsid w:val="00EE143C"/>
    <w:rsid w:val="00EE67A2"/>
    <w:rsid w:val="00EF106F"/>
    <w:rsid w:val="00EF1A0D"/>
    <w:rsid w:val="00EF3956"/>
    <w:rsid w:val="00F011A0"/>
    <w:rsid w:val="00F02A4E"/>
    <w:rsid w:val="00F02D2C"/>
    <w:rsid w:val="00F05930"/>
    <w:rsid w:val="00F05DC3"/>
    <w:rsid w:val="00F062C2"/>
    <w:rsid w:val="00F06876"/>
    <w:rsid w:val="00F159B7"/>
    <w:rsid w:val="00F204F1"/>
    <w:rsid w:val="00F207A0"/>
    <w:rsid w:val="00F33856"/>
    <w:rsid w:val="00F34278"/>
    <w:rsid w:val="00F37A27"/>
    <w:rsid w:val="00F46468"/>
    <w:rsid w:val="00F53A52"/>
    <w:rsid w:val="00F55976"/>
    <w:rsid w:val="00F63C86"/>
    <w:rsid w:val="00F7251B"/>
    <w:rsid w:val="00F72BF3"/>
    <w:rsid w:val="00F74477"/>
    <w:rsid w:val="00F747A3"/>
    <w:rsid w:val="00F80038"/>
    <w:rsid w:val="00F85180"/>
    <w:rsid w:val="00F903D8"/>
    <w:rsid w:val="00F96107"/>
    <w:rsid w:val="00FA1B60"/>
    <w:rsid w:val="00FB0B09"/>
    <w:rsid w:val="00FB14FF"/>
    <w:rsid w:val="00FB1E79"/>
    <w:rsid w:val="00FB552D"/>
    <w:rsid w:val="00FB764D"/>
    <w:rsid w:val="00FC622D"/>
    <w:rsid w:val="00FD08F8"/>
    <w:rsid w:val="00FD1809"/>
    <w:rsid w:val="00FD2255"/>
    <w:rsid w:val="00FD586A"/>
    <w:rsid w:val="00FE03B5"/>
    <w:rsid w:val="00FF01FE"/>
    <w:rsid w:val="00FF5EAD"/>
    <w:rsid w:val="00FF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2F"/>
    <w:pPr>
      <w:spacing w:line="276" w:lineRule="auto"/>
      <w:jc w:val="both"/>
    </w:pPr>
    <w:rPr>
      <w:rFonts w:ascii="Times New Roman" w:eastAsiaTheme="minorEastAsia" w:hAnsi="Times New Roman"/>
    </w:rPr>
  </w:style>
  <w:style w:type="paragraph" w:styleId="1">
    <w:name w:val="heading 1"/>
    <w:basedOn w:val="a"/>
    <w:link w:val="10"/>
    <w:uiPriority w:val="9"/>
    <w:qFormat/>
    <w:rsid w:val="00A3059C"/>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EF1A0D"/>
    <w:pPr>
      <w:spacing w:after="0"/>
      <w:jc w:val="both"/>
    </w:pPr>
    <w:rPr>
      <w:rFonts w:ascii="Times New Roman" w:eastAsiaTheme="minorEastAsia" w:hAnsi="Times New Roman"/>
    </w:rPr>
  </w:style>
  <w:style w:type="character" w:customStyle="1" w:styleId="10">
    <w:name w:val="Заголовок 1 Знак"/>
    <w:basedOn w:val="a0"/>
    <w:link w:val="1"/>
    <w:uiPriority w:val="9"/>
    <w:rsid w:val="00A3059C"/>
    <w:rPr>
      <w:rFonts w:ascii="Times New Roman" w:eastAsia="Times New Roman" w:hAnsi="Times New Roman" w:cs="Times New Roman"/>
      <w:b/>
      <w:bCs/>
      <w:kern w:val="36"/>
      <w:sz w:val="48"/>
      <w:szCs w:val="48"/>
    </w:rPr>
  </w:style>
  <w:style w:type="paragraph" w:styleId="z-">
    <w:name w:val="HTML Top of Form"/>
    <w:basedOn w:val="a"/>
    <w:next w:val="a"/>
    <w:link w:val="z-0"/>
    <w:hidden/>
    <w:uiPriority w:val="99"/>
    <w:semiHidden/>
    <w:unhideWhenUsed/>
    <w:rsid w:val="00A305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3059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305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3059C"/>
    <w:rPr>
      <w:rFonts w:ascii="Arial" w:eastAsia="Times New Roman" w:hAnsi="Arial" w:cs="Arial"/>
      <w:vanish/>
      <w:sz w:val="16"/>
      <w:szCs w:val="16"/>
    </w:rPr>
  </w:style>
  <w:style w:type="character" w:styleId="a4">
    <w:name w:val="Hyperlink"/>
    <w:basedOn w:val="a0"/>
    <w:uiPriority w:val="99"/>
    <w:semiHidden/>
    <w:unhideWhenUsed/>
    <w:rsid w:val="00A3059C"/>
    <w:rPr>
      <w:color w:val="0000FF"/>
      <w:u w:val="single"/>
    </w:rPr>
  </w:style>
  <w:style w:type="paragraph" w:styleId="a5">
    <w:name w:val="Normal (Web)"/>
    <w:basedOn w:val="a"/>
    <w:uiPriority w:val="99"/>
    <w:unhideWhenUsed/>
    <w:rsid w:val="00A3059C"/>
    <w:pPr>
      <w:spacing w:before="100" w:beforeAutospacing="1" w:after="100" w:afterAutospacing="1" w:line="240" w:lineRule="auto"/>
      <w:jc w:val="left"/>
    </w:pPr>
    <w:rPr>
      <w:rFonts w:eastAsia="Times New Roman" w:cs="Times New Roman"/>
      <w:sz w:val="24"/>
      <w:szCs w:val="24"/>
    </w:rPr>
  </w:style>
  <w:style w:type="character" w:styleId="a6">
    <w:name w:val="Strong"/>
    <w:basedOn w:val="a0"/>
    <w:uiPriority w:val="22"/>
    <w:qFormat/>
    <w:rsid w:val="00A3059C"/>
    <w:rPr>
      <w:b/>
      <w:bCs/>
    </w:rPr>
  </w:style>
  <w:style w:type="paragraph" w:customStyle="1" w:styleId="tjbmf">
    <w:name w:val="tjbmf"/>
    <w:basedOn w:val="a"/>
    <w:rsid w:val="00A3059C"/>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4311889">
      <w:bodyDiv w:val="1"/>
      <w:marLeft w:val="0"/>
      <w:marRight w:val="0"/>
      <w:marTop w:val="0"/>
      <w:marBottom w:val="0"/>
      <w:divBdr>
        <w:top w:val="none" w:sz="0" w:space="0" w:color="auto"/>
        <w:left w:val="none" w:sz="0" w:space="0" w:color="auto"/>
        <w:bottom w:val="none" w:sz="0" w:space="0" w:color="auto"/>
        <w:right w:val="none" w:sz="0" w:space="0" w:color="auto"/>
      </w:divBdr>
      <w:divsChild>
        <w:div w:id="858355892">
          <w:marLeft w:val="0"/>
          <w:marRight w:val="0"/>
          <w:marTop w:val="0"/>
          <w:marBottom w:val="0"/>
          <w:divBdr>
            <w:top w:val="none" w:sz="0" w:space="0" w:color="auto"/>
            <w:left w:val="none" w:sz="0" w:space="0" w:color="auto"/>
            <w:bottom w:val="none" w:sz="0" w:space="0" w:color="auto"/>
            <w:right w:val="none" w:sz="0" w:space="0" w:color="auto"/>
          </w:divBdr>
          <w:divsChild>
            <w:div w:id="638266918">
              <w:marLeft w:val="0"/>
              <w:marRight w:val="0"/>
              <w:marTop w:val="0"/>
              <w:marBottom w:val="0"/>
              <w:divBdr>
                <w:top w:val="none" w:sz="0" w:space="0" w:color="auto"/>
                <w:left w:val="none" w:sz="0" w:space="0" w:color="auto"/>
                <w:bottom w:val="none" w:sz="0" w:space="0" w:color="auto"/>
                <w:right w:val="none" w:sz="0" w:space="0" w:color="auto"/>
              </w:divBdr>
            </w:div>
            <w:div w:id="108860854">
              <w:marLeft w:val="0"/>
              <w:marRight w:val="0"/>
              <w:marTop w:val="0"/>
              <w:marBottom w:val="0"/>
              <w:divBdr>
                <w:top w:val="none" w:sz="0" w:space="0" w:color="auto"/>
                <w:left w:val="none" w:sz="0" w:space="0" w:color="auto"/>
                <w:bottom w:val="none" w:sz="0" w:space="0" w:color="auto"/>
                <w:right w:val="none" w:sz="0" w:space="0" w:color="auto"/>
              </w:divBdr>
            </w:div>
            <w:div w:id="140077875">
              <w:marLeft w:val="0"/>
              <w:marRight w:val="0"/>
              <w:marTop w:val="0"/>
              <w:marBottom w:val="0"/>
              <w:divBdr>
                <w:top w:val="none" w:sz="0" w:space="0" w:color="auto"/>
                <w:left w:val="none" w:sz="0" w:space="0" w:color="auto"/>
                <w:bottom w:val="none" w:sz="0" w:space="0" w:color="auto"/>
                <w:right w:val="none" w:sz="0" w:space="0" w:color="auto"/>
              </w:divBdr>
            </w:div>
          </w:divsChild>
        </w:div>
        <w:div w:id="960767317">
          <w:marLeft w:val="0"/>
          <w:marRight w:val="0"/>
          <w:marTop w:val="0"/>
          <w:marBottom w:val="0"/>
          <w:divBdr>
            <w:top w:val="none" w:sz="0" w:space="0" w:color="auto"/>
            <w:left w:val="none" w:sz="0" w:space="0" w:color="auto"/>
            <w:bottom w:val="none" w:sz="0" w:space="0" w:color="auto"/>
            <w:right w:val="none" w:sz="0" w:space="0" w:color="auto"/>
          </w:divBdr>
          <w:divsChild>
            <w:div w:id="813259560">
              <w:marLeft w:val="0"/>
              <w:marRight w:val="0"/>
              <w:marTop w:val="0"/>
              <w:marBottom w:val="0"/>
              <w:divBdr>
                <w:top w:val="none" w:sz="0" w:space="0" w:color="auto"/>
                <w:left w:val="none" w:sz="0" w:space="0" w:color="auto"/>
                <w:bottom w:val="none" w:sz="0" w:space="0" w:color="auto"/>
                <w:right w:val="none" w:sz="0" w:space="0" w:color="auto"/>
              </w:divBdr>
            </w:div>
          </w:divsChild>
        </w:div>
        <w:div w:id="435566909">
          <w:marLeft w:val="0"/>
          <w:marRight w:val="0"/>
          <w:marTop w:val="0"/>
          <w:marBottom w:val="0"/>
          <w:divBdr>
            <w:top w:val="none" w:sz="0" w:space="0" w:color="auto"/>
            <w:left w:val="none" w:sz="0" w:space="0" w:color="auto"/>
            <w:bottom w:val="none" w:sz="0" w:space="0" w:color="auto"/>
            <w:right w:val="none" w:sz="0" w:space="0" w:color="auto"/>
          </w:divBdr>
          <w:divsChild>
            <w:div w:id="790245457">
              <w:marLeft w:val="0"/>
              <w:marRight w:val="0"/>
              <w:marTop w:val="0"/>
              <w:marBottom w:val="0"/>
              <w:divBdr>
                <w:top w:val="none" w:sz="0" w:space="0" w:color="auto"/>
                <w:left w:val="none" w:sz="0" w:space="0" w:color="auto"/>
                <w:bottom w:val="none" w:sz="0" w:space="0" w:color="auto"/>
                <w:right w:val="none" w:sz="0" w:space="0" w:color="auto"/>
              </w:divBdr>
              <w:divsChild>
                <w:div w:id="308099074">
                  <w:marLeft w:val="0"/>
                  <w:marRight w:val="0"/>
                  <w:marTop w:val="0"/>
                  <w:marBottom w:val="0"/>
                  <w:divBdr>
                    <w:top w:val="none" w:sz="0" w:space="0" w:color="auto"/>
                    <w:left w:val="none" w:sz="0" w:space="0" w:color="auto"/>
                    <w:bottom w:val="none" w:sz="0" w:space="0" w:color="auto"/>
                    <w:right w:val="none" w:sz="0" w:space="0" w:color="auto"/>
                  </w:divBdr>
                  <w:divsChild>
                    <w:div w:id="11373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3959</Words>
  <Characters>22572</Characters>
  <Application>Microsoft Office Word</Application>
  <DocSecurity>0</DocSecurity>
  <Lines>188</Lines>
  <Paragraphs>52</Paragraphs>
  <ScaleCrop>false</ScaleCrop>
  <Company>Grizli777</Company>
  <LinksUpToDate>false</LinksUpToDate>
  <CharactersWithSpaces>26479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2015-03-12T09:57:00Z</dcterms:created>
  <dcterms:modified xsi:type="dcterms:W3CDTF">2015-03-12T09:59:00Z</dcterms:modified>
</cp:coreProperties>
</file>